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 xml:space="preserve">ÖNEMLİ NOT: Müracaat formu eksik veya gerçeklere uymayan tarzda doldurulduğu, okunaksız 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</w:tabs>
              <w:spacing w:before="0" w:line="240" w:lineRule="auto"/>
              <w:rPr>
                <w:sz w:val="4"/>
                <w:szCs w:val="4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  <w:bookmarkStart w:id="0" w:name="_GoBack"/>
            <w:bookmarkEnd w:id="0"/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F803D8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F803D8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F803D8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F803D8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t>Kapasite Raporu Müracaatı İçin Gerekli Belgeler: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F803D8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F10BFB" w:rsidRDefault="00F803D8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11- Maden ocaklarında maden ruhsatı, ruhsat kiralanmış ise kiralama sözleşmesi.</w: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04A7" wp14:editId="46CF3231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5817CF" w:rsidRDefault="00166C5A" w:rsidP="00166C5A">
                            <w:pPr>
                              <w:spacing w:after="120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  <w:p w:rsidR="00166C5A" w:rsidRPr="009460D5" w:rsidRDefault="00166C5A" w:rsidP="00166C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5817CF" w:rsidRDefault="00166C5A" w:rsidP="00166C5A">
                      <w:pPr>
                        <w:spacing w:after="120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  <w:p w:rsidR="00166C5A" w:rsidRPr="009460D5" w:rsidRDefault="00166C5A" w:rsidP="00166C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rPr>
          <w:rFonts w:cs="Arial"/>
          <w:color w:val="3366FF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166C5A"/>
    <w:rsid w:val="00325967"/>
    <w:rsid w:val="005336F0"/>
    <w:rsid w:val="00AE5805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1315</Words>
  <Characters>7500</Characters>
  <Application>Microsoft Office Word</Application>
  <DocSecurity>0</DocSecurity>
  <Lines>62</Lines>
  <Paragraphs>17</Paragraphs>
  <ScaleCrop>false</ScaleCrop>
  <Company/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deik</cp:lastModifiedBy>
  <cp:revision>5</cp:revision>
  <cp:lastPrinted>2017-10-19T06:24:00Z</cp:lastPrinted>
  <dcterms:created xsi:type="dcterms:W3CDTF">2017-10-19T06:22:00Z</dcterms:created>
  <dcterms:modified xsi:type="dcterms:W3CDTF">2017-10-19T06:42:00Z</dcterms:modified>
</cp:coreProperties>
</file>